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W w:w="0" w:type="auto"/>
        <w:tblInd w:w="0" w:type="dxa"/>
        <w:tblBorders>
          <w:top w:val="none" w:sz="6" w:space="0" w:shadow="0" w:frame="0" w:color="000000"/>
          <w:left w:val="none" w:sz="6" w:space="0" w:shadow="0" w:frame="0" w:color="000000"/>
          <w:bottom w:val="none" w:sz="6" w:space="0" w:shadow="0" w:frame="0" w:color="000000"/>
          <w:right w:val="none" w:sz="6" w:space="0" w:shadow="0" w:frame="0" w:color="000000"/>
          <w:insideH w:val="none" w:sz="6" w:space="0" w:shadow="0" w:frame="0" w:color="000000"/>
          <w:insideV w:val="none" w:sz="6" w:space="0" w:shadow="0" w:frame="0" w:color="00000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</w:tc>
      </w:tr>
    </w:tbl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vanish w:val="1"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КОДЫ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0503160</w:t>
            </w:r>
          </w:p>
        </w:tc>
      </w:tr>
      <w:tr>
        <w:trPr>
          <w:trHeight w:hRule="atLeast"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01.01.2025</w:t>
            </w:r>
          </w:p>
        </w:tc>
      </w:tr>
      <w:tr>
        <w:trPr>
          <w:trHeight w:hRule="atLeast"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04132046</w:t>
            </w: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Волчанское сельское поселение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 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914</w:t>
            </w:r>
          </w:p>
        </w:tc>
      </w:tr>
      <w:tr>
        <w:trPr>
          <w:trHeight w:hRule="atLeast"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 </w:t>
            </w:r>
          </w:p>
          <w:p>
            <w:pPr>
              <w:spacing w:lineRule="atLeast" w:line="210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  <w:t>20617405</w:t>
            </w:r>
          </w:p>
        </w:tc>
      </w:tr>
      <w:tr>
        <w:trPr>
          <w:trHeight w:hRule="atLeast"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240" w:after="240" w:beforeAutospacing="1" w:afterAutospacing="1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383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1"/>
          <w:color w:val="000000"/>
          <w:sz w:val="24"/>
          <w:szCs w:val="24"/>
          <w:u w:val="single"/>
        </w:rPr>
        <w:t>Раздел 1 "Организационная структура субъекта бюджетной отчетности"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         Сведения об основных направлениях деятельности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:  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Волчанского сельского поселения осуществляет свои полномочия в соответствии с Уставом Волчанского сельского поселения и решением Совета народных депутатов Волчанского сельского поселения № 133 от 29.12.2023 г. "О бюджете Волчанского сельского поселения на 2024 год и на плановый период 2025 и 2026 годов".   Волчанское сельское поселение осуществляет свои полномочия в соответствии с Уставами и Решениями о бюджете соответственно.                           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      </w:t>
      </w:r>
      <w:r>
        <w:rPr>
          <w:rFonts w:ascii="Wide Latin" w:hAnsi="Wide Latin" w:cs="Wide Latin" w:eastAsia="Wide Latin"/>
          <w:b w:val="1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Сведения о количестве подведомственных участников бюджетного процесса, учреждений и государственных (муниципальных) унитарных предприятий (ф. 0503161)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Муниципальное образование включает в себя 3 населенных пункта, расположенных на территории сельского поселения (с.Волчанское, х.Крутец, х.Рыбальчино). Участниками бюджетного процесса являются 11 ГРБС. Состав участников бюджетного процесса на начало и конец года составил 3 казенных учреждений Волчанский  СДК, Крутчанский сельский клуб, Волчанская сельская администрация. </w:t>
      </w:r>
    </w:p>
    <w:p>
      <w:pPr>
        <w:spacing w:before="240" w:after="24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1"/>
          <w:color w:val="000000"/>
          <w:sz w:val="24"/>
          <w:szCs w:val="24"/>
          <w:u w:val="single"/>
        </w:rPr>
        <w:t>Раздел 2 "Результаты деятельности субъекта бюджетной отчетности"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         Учреждения осуществляют свою деятельность в соответствии с нормативно-правовыми актами РФ, Воронежской области и муниципального образования. Деятельность в сфере закупок и контроль в сфере закупок осуществляется в соответствии с №44-ФЗ от 05.04.13г. </w:t>
      </w:r>
    </w:p>
    <w:p>
      <w:pPr>
        <w:spacing w:before="240" w:after="24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1"/>
          <w:color w:val="000000"/>
          <w:sz w:val="24"/>
          <w:szCs w:val="24"/>
          <w:u w:val="single"/>
        </w:rPr>
        <w:t>Раздел 3 "Анализ отчета об исполнении бюджета субъектом бюджетной отчетности"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       </w:t>
      </w:r>
    </w:p>
    <w:p>
      <w:pPr>
        <w:spacing w:before="240" w:after="24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 Сведения об исполнении бюджета (ф. 0503164)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Бюджет Волчанского сельского поселения в части доходов исполнен на 100,5%, в части расходов на 99,9%.</w:t>
      </w:r>
    </w:p>
    <w:p>
      <w:pPr>
        <w:spacing w:before="240" w:after="24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1"/>
          <w:color w:val="000000"/>
          <w:sz w:val="24"/>
          <w:szCs w:val="24"/>
          <w:u w:val="single"/>
        </w:rPr>
        <w:t>Раздел 4 "Анализ показателей бухгалтерской отчетности субъекта бюджетной отчетности"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                             О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тчет о финансовых результатах деятельности (ф. 0503121)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По КОСГУ 189 отражаются коммунальные услуги за воду физ.лицами  362,1 тыс.руб., 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                       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                            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Сведения о движении нефинансовых активов (ф. 0503168)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На конец года стоимость основных средств по счету 010100 увеличилась на 10,6 тыс.руб   за год приобретены компьютер, огнеушители,мебель и списаны пришедшие в негодность машины и оборудование. Материальные запасы по счету 010500 на конец года ууменьшились на 0,1 тыс.руб.</w:t>
        <w:br w:type="textWrapping"/>
        <w:t>         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Недвижимое имущество казны на начало года остаток составил 25055,5 тыс. руб.это</w:t>
      </w:r>
    </w:p>
    <w:tbl>
      <w:tblPr>
        <w:tblW w:w="0" w:type="auto"/>
        <w:tblInd w:w="0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bookmarkStart w:id="0" w:name="_dx_frag_StartFragment"/>
            <w:bookmarkEnd w:id="0"/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>Здание клуба с.Волчанское,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>Здание газовой котельной,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49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>Газоснабжение котельной х.Крутец клуб,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Тротуарные дорожки 1, 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Военно-мемориальный объект №577 х.Крутец, 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Гидротехническое сооружение-плотина, 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gridSpan w:val="5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390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>
        <w:trPr>
          <w:trHeight w:hRule="atLeast" w:val="49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Артезиантская скважина № 26/13, водопроводные сети, водонапорная башня "Рожновск, 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58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20"/>
                <w:szCs w:val="20"/>
                <w:shd w:val="clear" w:color="auto" w:fill="FFFFFF"/>
              </w:rPr>
              <w:t xml:space="preserve">Артезианская скважина Крутец, 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shadow="0" w:frame="0" w:color="E6E6E6"/>
              <w:left w:val="single" w:sz="8" w:space="0" w:shadow="0" w:frame="0" w:color="E6E6E6"/>
              <w:bottom w:val="single" w:sz="8" w:space="0" w:shadow="0" w:frame="0" w:color="E6E6E6"/>
              <w:right w:val="single" w:sz="8" w:space="0" w:shadow="0" w:frame="0" w:color="E6E6E6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 w:eastAsia="Arial"/>
                <w:b w:val="0"/>
                <w:i w:val="0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</w:tr>
    </w:tbl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bookmarkStart w:id="1" w:name="_dx_frag_EndFragment"/>
      <w:bookmarkEnd w:id="1"/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поступила скважина х Рыбальчино ул.Мира,32а  6053,1 тыс.руб.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На конец года остаток 31 108,6 тыс. руб.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         Сведения по дебиторской и кредиторской задолженности (ф. 0503169)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Остатки целевых средств составили на конец года 0,00 руб. Дебиторская задолженность по счету  12060000 нет. Кредиторская задолженность по счету 13020000 увеличилась на 29,2 тыс. руб. это расчеты  по коммунальным услугам; 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          Сведения о государственном (муниципальном) долге, предоставленных бюджетных кредитах  бюджета (ф. 0503172)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 Банковских кредитов и муниципальных гарантий нет.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 xml:space="preserve">                  Справка по заключению счетов (Доходы) Ф.0503110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По КБК 1170505010 отражены коммунальные услуги на сумму 362,1 тыс..руб.; </w:t>
        <w:br w:type="textWrapping"/>
        <w:t>  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Сведения о вложениях в объекты недвижимого имущества, объектах незавершенного строительства  Ф.0503190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По  счету 0106000 -   на начало отчетного периода остаток 6053,1 тыс. рублей артезианская скважина в Волчанском с/поселении перебурена по адресу х Рыбальчино ул.Мира,32а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в 2024 году Объект поставлен на кадастровый учет и переведен в казну поселения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На 106 счете на конец года остатка нет</w:t>
      </w:r>
    </w:p>
    <w:p>
      <w:pPr>
        <w:spacing w:before="240" w:after="24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</w:t>
      </w:r>
      <w:r>
        <w:rPr>
          <w:rFonts w:ascii="Times New Roman" w:hAnsi="Times New Roman" w:cs="Times New Roman" w:eastAsia="Times New Roman"/>
          <w:b w:val="1"/>
          <w:i w:val="1"/>
          <w:color w:val="000000"/>
          <w:sz w:val="24"/>
          <w:szCs w:val="24"/>
          <w:u w:val="single"/>
        </w:rPr>
        <w:t>Раздел 5 "Прочие вопросы деятельности субъекта бюджетной отчетности"</w:t>
      </w:r>
    </w:p>
    <w:p>
      <w:pPr>
        <w:spacing w:before="240" w:after="24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  Инвентаризация основных средств и материальных запасов проведена по состоянию на 01.11.2024г. Расхождений данных бухгалтерского учета с фактическим наличием не выявлено. </w:t>
      </w:r>
    </w:p>
    <w:p>
      <w:pPr>
        <w:spacing w:lineRule="auto" w:line="276" w:before="240" w:after="20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   </w:t>
      </w:r>
      <w:r>
        <w:rPr>
          <w:rFonts w:ascii="Calibri" w:hAnsi="Calibri" w:cs="Calibri" w:eastAsia="Calibri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7"/>
          <w:szCs w:val="27"/>
        </w:rPr>
        <w:t>Расходования средств резервного фонда в 2024 году не было</w:t>
      </w:r>
      <w:r>
        <w:rPr>
          <w:rFonts w:ascii="Calibri" w:hAnsi="Calibri" w:cs="Calibri" w:eastAsia="Calibri"/>
          <w:b w:val="0"/>
          <w:i w:val="0"/>
          <w:color w:val="000000"/>
          <w:sz w:val="22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outlineLvl w:val="9"/>
      </w:pPr>
      <w:r>
        <w:t> </w:t>
      </w:r>
    </w:p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u w:val="single"/>
              </w:rPr>
              <w:t>Двойченков Сергей Светославович</w:t>
            </w:r>
          </w:p>
        </w:tc>
      </w:tr>
      <w:tr>
        <w:trPr>
          <w:trHeight w:hRule="atLeast"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r>
        <w:rPr>
          <w:rFonts w:ascii="Times New Roman" w:hAnsi="Times New Roman" w:cs="Times New Roman" w:eastAsia="Times New Roman"/>
          <w:sz w:val="24"/>
          <w:szCs w:val="24"/>
        </w:rPr>
        <w:t xml:space="preserve">        </w:t>
      </w:r>
    </w:p>
    <w:sectPr>
      <w:type w:val="nextPage"/>
      <w:pgSz w:w="15840" w:h="12240" w:orient="landscap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API/21.2.5.0</Application>
  <AppVersion>21.2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2025-02-28T07:37:05Z</dcterms:created>
  <dcterms:modified xsi:type="dcterms:W3CDTF">2025-02-28T07:37:05Z</dcterms:modified>
  <cp:revision>1</cp:revision>
</cp:coreProperties>
</file>